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C6FB5" w:rsidRPr="00AC6FB5" w:rsidRDefault="00AC6FB5" w:rsidP="00AC6FB5">
      <w:pPr>
        <w:jc w:val="center"/>
        <w:rPr>
          <w:rFonts w:ascii="Cambria" w:hAnsi="Cambria"/>
          <w:sz w:val="20"/>
          <w:szCs w:val="20"/>
        </w:rPr>
      </w:pPr>
      <w:r>
        <w:rPr>
          <w:rFonts w:ascii="Cambria" w:hAnsi="Cambria"/>
          <w:noProof/>
          <w:sz w:val="20"/>
          <w:szCs w:val="20"/>
        </w:rPr>
        <w:drawing>
          <wp:inline distT="0" distB="0" distL="0" distR="0">
            <wp:extent cx="2374900" cy="406400"/>
            <wp:effectExtent l="0" t="0" r="0" b="0"/>
            <wp:docPr id="378503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03383" name="Picture 378503383"/>
                    <pic:cNvPicPr/>
                  </pic:nvPicPr>
                  <pic:blipFill>
                    <a:blip r:embed="rId5">
                      <a:extLst>
                        <a:ext uri="{28A0092B-C50C-407E-A947-70E740481C1C}">
                          <a14:useLocalDpi xmlns:a14="http://schemas.microsoft.com/office/drawing/2010/main" val="0"/>
                        </a:ext>
                      </a:extLst>
                    </a:blip>
                    <a:stretch>
                      <a:fillRect/>
                    </a:stretch>
                  </pic:blipFill>
                  <pic:spPr>
                    <a:xfrm>
                      <a:off x="0" y="0"/>
                      <a:ext cx="2374900" cy="406400"/>
                    </a:xfrm>
                    <a:prstGeom prst="rect">
                      <a:avLst/>
                    </a:prstGeom>
                  </pic:spPr>
                </pic:pic>
              </a:graphicData>
            </a:graphic>
          </wp:inline>
        </w:drawing>
      </w:r>
    </w:p>
    <w:p w:rsidR="00AC6FB5" w:rsidRPr="00AC6FB5" w:rsidRDefault="00AC6FB5" w:rsidP="00AC6FB5">
      <w:pPr>
        <w:jc w:val="center"/>
        <w:rPr>
          <w:rFonts w:ascii="Cambria" w:hAnsi="Cambria"/>
          <w:sz w:val="20"/>
          <w:szCs w:val="20"/>
        </w:rPr>
      </w:pPr>
    </w:p>
    <w:p w:rsidR="00AC6FB5" w:rsidRDefault="00AC6FB5" w:rsidP="00AC6FB5">
      <w:pPr>
        <w:jc w:val="center"/>
        <w:rPr>
          <w:rFonts w:ascii="Cambria" w:hAnsi="Cambria"/>
          <w:b/>
          <w:bCs/>
          <w:sz w:val="20"/>
          <w:szCs w:val="20"/>
        </w:rPr>
      </w:pPr>
      <w:r w:rsidRPr="0048698F">
        <w:rPr>
          <w:rFonts w:ascii="Cambria" w:hAnsi="Cambria"/>
          <w:b/>
          <w:bCs/>
          <w:sz w:val="20"/>
          <w:szCs w:val="20"/>
        </w:rPr>
        <w:t>Clinical Assistant, Associate, or Professor of Surgery – Esophageal and Foregut Surgery (Excludes Bariatric Surgery)</w:t>
      </w:r>
    </w:p>
    <w:p w:rsidR="00AC6FB5" w:rsidRDefault="00AC6FB5" w:rsidP="00AC6FB5">
      <w:pPr>
        <w:rPr>
          <w:rFonts w:ascii="Cambria" w:hAnsi="Cambria"/>
          <w:b/>
          <w:sz w:val="20"/>
          <w:szCs w:val="20"/>
        </w:rPr>
      </w:pPr>
    </w:p>
    <w:p w:rsidR="00AC6FB5" w:rsidRPr="00544263" w:rsidRDefault="00AC6FB5" w:rsidP="00AC6FB5">
      <w:pPr>
        <w:rPr>
          <w:rFonts w:ascii="Cambria" w:hAnsi="Cambria"/>
          <w:sz w:val="20"/>
          <w:szCs w:val="20"/>
        </w:rPr>
      </w:pPr>
      <w:r w:rsidRPr="00544263">
        <w:rPr>
          <w:rFonts w:ascii="Cambria" w:hAnsi="Cambria"/>
          <w:b/>
          <w:bCs/>
          <w:sz w:val="20"/>
          <w:szCs w:val="20"/>
        </w:rPr>
        <w:t>Job ID</w:t>
      </w:r>
      <w:r>
        <w:rPr>
          <w:rFonts w:ascii="Cambria" w:hAnsi="Cambria"/>
          <w:b/>
          <w:bCs/>
          <w:sz w:val="20"/>
          <w:szCs w:val="20"/>
        </w:rPr>
        <w:t xml:space="preserve">:  </w:t>
      </w:r>
      <w:r w:rsidRPr="0048698F">
        <w:rPr>
          <w:rFonts w:ascii="Cambria" w:hAnsi="Cambria"/>
          <w:sz w:val="20"/>
          <w:szCs w:val="20"/>
        </w:rPr>
        <w:t>52400</w:t>
      </w:r>
      <w:r>
        <w:rPr>
          <w:rFonts w:ascii="Cambria" w:hAnsi="Cambria"/>
          <w:sz w:val="20"/>
          <w:szCs w:val="20"/>
        </w:rPr>
        <w:br/>
      </w:r>
      <w:r w:rsidRPr="00544263">
        <w:rPr>
          <w:rFonts w:ascii="Cambria" w:hAnsi="Cambria"/>
          <w:b/>
          <w:bCs/>
          <w:sz w:val="20"/>
          <w:szCs w:val="20"/>
        </w:rPr>
        <w:t>Location</w:t>
      </w:r>
      <w:r>
        <w:rPr>
          <w:rFonts w:ascii="Cambria" w:hAnsi="Cambria"/>
          <w:b/>
          <w:bCs/>
          <w:sz w:val="20"/>
          <w:szCs w:val="20"/>
        </w:rPr>
        <w:t xml:space="preserve">:  </w:t>
      </w:r>
      <w:r w:rsidRPr="00544263">
        <w:rPr>
          <w:rFonts w:ascii="Cambria" w:hAnsi="Cambria"/>
          <w:sz w:val="20"/>
          <w:szCs w:val="20"/>
        </w:rPr>
        <w:t>Chicago, Illinois</w:t>
      </w:r>
    </w:p>
    <w:p w:rsidR="00AC6FB5" w:rsidRDefault="00AC6FB5" w:rsidP="00AC6FB5">
      <w:pPr>
        <w:rPr>
          <w:rFonts w:ascii="Cambria" w:hAnsi="Cambria"/>
          <w:sz w:val="20"/>
          <w:szCs w:val="20"/>
        </w:rPr>
      </w:pPr>
    </w:p>
    <w:p w:rsidR="00AC6FB5" w:rsidRDefault="00AC6FB5" w:rsidP="00AC6FB5">
      <w:pPr>
        <w:rPr>
          <w:rFonts w:ascii="Cambria" w:hAnsi="Cambria"/>
          <w:sz w:val="20"/>
          <w:szCs w:val="20"/>
        </w:rPr>
      </w:pPr>
      <w:r w:rsidRPr="0048698F">
        <w:rPr>
          <w:rFonts w:ascii="Cambria" w:hAnsi="Cambria"/>
          <w:sz w:val="20"/>
          <w:szCs w:val="20"/>
        </w:rPr>
        <w:t>The Division of GI Surgery at Northwestern University Feinberg School of Medicine seeks a full-time non-tenure track faculty member at the rank of Clinical Assistant, Associate, or Professor. We are specifically seeking an established surgeon with recognized expertise in esophageal and foregut surgery to join and further advance a high-volume, academically driven clinical program that is focused exclusively on esophageal and foregut disease and does not include bariatric surgery.</w:t>
      </w:r>
    </w:p>
    <w:p w:rsidR="00AC6FB5" w:rsidRPr="0048698F" w:rsidRDefault="00AC6FB5" w:rsidP="00AC6FB5">
      <w:pPr>
        <w:rPr>
          <w:rFonts w:ascii="Cambria" w:hAnsi="Cambria"/>
          <w:sz w:val="20"/>
          <w:szCs w:val="20"/>
        </w:rPr>
      </w:pPr>
    </w:p>
    <w:p w:rsidR="00AC6FB5" w:rsidRDefault="00AC6FB5" w:rsidP="00AC6FB5">
      <w:pPr>
        <w:rPr>
          <w:rFonts w:ascii="Cambria" w:hAnsi="Cambria"/>
          <w:sz w:val="20"/>
          <w:szCs w:val="20"/>
        </w:rPr>
      </w:pPr>
      <w:r w:rsidRPr="0048698F">
        <w:rPr>
          <w:rFonts w:ascii="Cambria" w:hAnsi="Cambria"/>
          <w:sz w:val="20"/>
          <w:szCs w:val="20"/>
        </w:rPr>
        <w:t>The ideal candidate will lead a robust clinical practice focused on the management of complex foregut and esophageal disorders, providing comprehensive pre</w:t>
      </w:r>
      <w:r w:rsidRPr="0048698F">
        <w:rPr>
          <w:rFonts w:ascii="Cambria" w:hAnsi="Cambria"/>
          <w:sz w:val="20"/>
          <w:szCs w:val="20"/>
        </w:rPr>
        <w:noBreakHyphen/>
        <w:t>operative and post</w:t>
      </w:r>
      <w:r w:rsidRPr="0048698F">
        <w:rPr>
          <w:rFonts w:ascii="Cambria" w:hAnsi="Cambria"/>
          <w:sz w:val="20"/>
          <w:szCs w:val="20"/>
        </w:rPr>
        <w:noBreakHyphen/>
        <w:t>operative care in close collaboration with a multidisciplinary team. Clinical responsibilities include both inpatient and outpatient care, as well as the performance of advanced surgical and endoscopic procedures. These include, but are not limited to, peroral endoscopic myotomy (POEM), advanced surgical endoscopy, and minimally invasive techniques for the treatment of esophageal and upper gastrointestinal disease.</w:t>
      </w:r>
    </w:p>
    <w:p w:rsidR="00AC6FB5" w:rsidRPr="0048698F" w:rsidRDefault="00AC6FB5" w:rsidP="00AC6FB5">
      <w:pPr>
        <w:rPr>
          <w:rFonts w:ascii="Cambria" w:hAnsi="Cambria"/>
          <w:sz w:val="20"/>
          <w:szCs w:val="20"/>
        </w:rPr>
      </w:pPr>
    </w:p>
    <w:p w:rsidR="00AC6FB5" w:rsidRDefault="00AC6FB5" w:rsidP="00AC6FB5">
      <w:pPr>
        <w:rPr>
          <w:rFonts w:ascii="Cambria" w:hAnsi="Cambria"/>
          <w:sz w:val="20"/>
          <w:szCs w:val="20"/>
        </w:rPr>
      </w:pPr>
      <w:r w:rsidRPr="0048698F">
        <w:rPr>
          <w:rFonts w:ascii="Cambria" w:hAnsi="Cambria"/>
          <w:sz w:val="20"/>
          <w:szCs w:val="20"/>
        </w:rPr>
        <w:t>This role offers the opportunity to play a meaningful leadership role in the continued growth, innovation, and strategic development of the foregut and esophageal surgery program. The ideal candidate will demonstrate a strong record of clinical excellence, program building, and collaborative practice, with a commitment to advancing high</w:t>
      </w:r>
      <w:r w:rsidRPr="0048698F">
        <w:rPr>
          <w:rFonts w:ascii="Cambria" w:hAnsi="Cambria"/>
          <w:sz w:val="20"/>
          <w:szCs w:val="20"/>
        </w:rPr>
        <w:noBreakHyphen/>
        <w:t>quality, patient</w:t>
      </w:r>
      <w:r w:rsidRPr="0048698F">
        <w:rPr>
          <w:rFonts w:ascii="Cambria" w:hAnsi="Cambria"/>
          <w:sz w:val="20"/>
          <w:szCs w:val="20"/>
        </w:rPr>
        <w:noBreakHyphen/>
        <w:t>centered care within an academic medical center.</w:t>
      </w:r>
    </w:p>
    <w:p w:rsidR="00AC6FB5" w:rsidRPr="0048698F" w:rsidRDefault="00AC6FB5" w:rsidP="00AC6FB5">
      <w:pPr>
        <w:rPr>
          <w:rFonts w:ascii="Cambria" w:hAnsi="Cambria"/>
          <w:sz w:val="20"/>
          <w:szCs w:val="20"/>
        </w:rPr>
      </w:pPr>
    </w:p>
    <w:p w:rsidR="00AC6FB5" w:rsidRDefault="00AC6FB5" w:rsidP="00AC6FB5">
      <w:pPr>
        <w:rPr>
          <w:rFonts w:ascii="Cambria" w:hAnsi="Cambria"/>
          <w:sz w:val="20"/>
          <w:szCs w:val="20"/>
        </w:rPr>
      </w:pPr>
      <w:r w:rsidRPr="0048698F">
        <w:rPr>
          <w:rFonts w:ascii="Cambria" w:hAnsi="Cambria"/>
          <w:sz w:val="20"/>
          <w:szCs w:val="20"/>
        </w:rPr>
        <w:t>Additional responsibilities include participation in daily consultations, management of referral</w:t>
      </w:r>
      <w:r w:rsidRPr="0048698F">
        <w:rPr>
          <w:rFonts w:ascii="Cambria" w:hAnsi="Cambria"/>
          <w:sz w:val="20"/>
          <w:szCs w:val="20"/>
        </w:rPr>
        <w:noBreakHyphen/>
        <w:t>based care, shared call coverage, and active involvement in inpatient rounding and perioperative care. The faculty member will also contribute to the educational mission of the Feinberg School of Medicine through the teaching, training, and mentorship of General Surgery residents across clinical and educational settings.</w:t>
      </w:r>
    </w:p>
    <w:p w:rsidR="00AC6FB5" w:rsidRPr="0048698F" w:rsidRDefault="00AC6FB5" w:rsidP="00AC6FB5">
      <w:pPr>
        <w:rPr>
          <w:rFonts w:ascii="Cambria" w:hAnsi="Cambria"/>
          <w:sz w:val="20"/>
          <w:szCs w:val="20"/>
        </w:rPr>
      </w:pPr>
    </w:p>
    <w:p w:rsidR="00AC6FB5" w:rsidRDefault="00AC6FB5" w:rsidP="00AC6FB5">
      <w:pPr>
        <w:rPr>
          <w:rFonts w:ascii="Cambria" w:hAnsi="Cambria"/>
          <w:sz w:val="20"/>
          <w:szCs w:val="20"/>
        </w:rPr>
      </w:pPr>
      <w:r w:rsidRPr="0048698F">
        <w:rPr>
          <w:rFonts w:ascii="Cambria" w:hAnsi="Cambria"/>
          <w:sz w:val="20"/>
          <w:szCs w:val="20"/>
        </w:rPr>
        <w:t>The start date is negotiable and the position will remain open until filled.</w:t>
      </w:r>
    </w:p>
    <w:p w:rsidR="00AC6FB5" w:rsidRPr="0048698F" w:rsidRDefault="00AC6FB5" w:rsidP="00AC6FB5">
      <w:pPr>
        <w:rPr>
          <w:rFonts w:ascii="Cambria" w:hAnsi="Cambria"/>
          <w:sz w:val="20"/>
          <w:szCs w:val="20"/>
        </w:rPr>
      </w:pPr>
    </w:p>
    <w:p w:rsidR="00AC6FB5" w:rsidRDefault="00AC6FB5" w:rsidP="00AC6FB5">
      <w:pPr>
        <w:rPr>
          <w:rFonts w:ascii="Cambria" w:hAnsi="Cambria"/>
          <w:sz w:val="20"/>
          <w:szCs w:val="20"/>
        </w:rPr>
      </w:pPr>
      <w:r w:rsidRPr="0048698F">
        <w:rPr>
          <w:rFonts w:ascii="Cambria" w:hAnsi="Cambria"/>
          <w:sz w:val="20"/>
          <w:szCs w:val="20"/>
        </w:rPr>
        <w:t>The expected base pay range for this position is $365,000 - $410,000.</w:t>
      </w:r>
    </w:p>
    <w:p w:rsidR="00AC6FB5" w:rsidRPr="0048698F" w:rsidRDefault="00AC6FB5" w:rsidP="00AC6FB5">
      <w:pPr>
        <w:rPr>
          <w:rFonts w:ascii="Cambria" w:hAnsi="Cambria"/>
          <w:sz w:val="20"/>
          <w:szCs w:val="20"/>
        </w:rPr>
      </w:pPr>
    </w:p>
    <w:p w:rsidR="00AC6FB5" w:rsidRDefault="00AC6FB5" w:rsidP="00AC6FB5">
      <w:pPr>
        <w:rPr>
          <w:rFonts w:ascii="Cambria" w:hAnsi="Cambria"/>
          <w:sz w:val="20"/>
          <w:szCs w:val="20"/>
        </w:rPr>
      </w:pPr>
      <w:r w:rsidRPr="0048698F">
        <w:rPr>
          <w:rFonts w:ascii="Cambria" w:hAnsi="Cambria"/>
          <w:sz w:val="20"/>
          <w:szCs w:val="20"/>
        </w:rPr>
        <w:t>Northwestern University has provided a pay range representing its good faith estimate of what the university reasonably expects to pay for the position. The pay offered to the selected candidate will be determined based on factors including (but not limited to) the experience and qualifications of the selected candidate including years since terminal degree, training, and field or discipline; departmental budget availability; internal comparators; and external market pay for comparable jobs.</w:t>
      </w:r>
    </w:p>
    <w:p w:rsidR="00AC6FB5" w:rsidRPr="0048698F" w:rsidRDefault="00AC6FB5" w:rsidP="00AC6FB5">
      <w:pPr>
        <w:rPr>
          <w:rFonts w:ascii="Cambria" w:hAnsi="Cambria"/>
          <w:sz w:val="20"/>
          <w:szCs w:val="20"/>
        </w:rPr>
      </w:pPr>
    </w:p>
    <w:p w:rsidR="00AC6FB5" w:rsidRDefault="00AC6FB5" w:rsidP="00AC6FB5">
      <w:pPr>
        <w:rPr>
          <w:rFonts w:ascii="Cambria" w:hAnsi="Cambria"/>
          <w:i/>
          <w:iCs/>
          <w:sz w:val="20"/>
          <w:szCs w:val="20"/>
        </w:rPr>
      </w:pPr>
      <w:r w:rsidRPr="0048698F">
        <w:rPr>
          <w:rFonts w:ascii="Cambria" w:hAnsi="Cambria"/>
          <w:b/>
          <w:bCs/>
          <w:sz w:val="20"/>
          <w:szCs w:val="20"/>
        </w:rPr>
        <w:t>Benefits</w:t>
      </w:r>
      <w:r w:rsidRPr="0048698F">
        <w:rPr>
          <w:rFonts w:ascii="Cambria" w:hAnsi="Cambria"/>
          <w:b/>
          <w:bCs/>
          <w:sz w:val="20"/>
          <w:szCs w:val="20"/>
        </w:rPr>
        <w:br/>
      </w:r>
      <w:r w:rsidRPr="0048698F">
        <w:rPr>
          <w:rFonts w:ascii="Cambria" w:hAnsi="Cambria"/>
          <w:i/>
          <w:iCs/>
          <w:sz w:val="20"/>
          <w:szCs w:val="20"/>
        </w:rPr>
        <w:t>At Northwestern, we are proud to provide meaningful and competitive benefits. The available benefits package for this position will include health, dental, vision, disability, and life insurance; paid medical/sick and parental leave; tuition benefits for the employee and dependents; pre-tax and flex spending accounts for commuting and dependent care; generous retirement savings options; and wellness programs. For a comprehensive overview of available benefits, including eligibility details, visit us at</w:t>
      </w:r>
      <w:r>
        <w:rPr>
          <w:rFonts w:ascii="Cambria" w:hAnsi="Cambria"/>
          <w:i/>
          <w:iCs/>
          <w:sz w:val="20"/>
          <w:szCs w:val="20"/>
        </w:rPr>
        <w:t xml:space="preserve"> </w:t>
      </w:r>
      <w:hyperlink r:id="rId6" w:history="1">
        <w:r w:rsidRPr="0048698F">
          <w:rPr>
            <w:rStyle w:val="Hyperlink"/>
            <w:rFonts w:ascii="Cambria" w:hAnsi="Cambria"/>
            <w:i/>
            <w:iCs/>
            <w:sz w:val="20"/>
            <w:szCs w:val="20"/>
          </w:rPr>
          <w:t>https://www.northwestern.edu/hr/benefits/index.html</w:t>
        </w:r>
      </w:hyperlink>
      <w:r>
        <w:rPr>
          <w:rFonts w:ascii="Cambria" w:hAnsi="Cambria"/>
          <w:i/>
          <w:iCs/>
          <w:sz w:val="20"/>
          <w:szCs w:val="20"/>
        </w:rPr>
        <w:t xml:space="preserve"> </w:t>
      </w:r>
      <w:r w:rsidRPr="0048698F">
        <w:rPr>
          <w:rFonts w:ascii="Cambria" w:hAnsi="Cambria"/>
          <w:i/>
          <w:iCs/>
          <w:sz w:val="20"/>
          <w:szCs w:val="20"/>
        </w:rPr>
        <w:t>to learn more.</w:t>
      </w:r>
    </w:p>
    <w:p w:rsidR="00AC6FB5" w:rsidRPr="0048698F" w:rsidRDefault="00AC6FB5" w:rsidP="00AC6FB5">
      <w:pPr>
        <w:rPr>
          <w:rFonts w:ascii="Cambria" w:hAnsi="Cambria"/>
          <w:sz w:val="20"/>
          <w:szCs w:val="20"/>
        </w:rPr>
      </w:pPr>
    </w:p>
    <w:p w:rsidR="00AC6FB5" w:rsidRDefault="00AC6FB5" w:rsidP="00AC6FB5">
      <w:pPr>
        <w:rPr>
          <w:rFonts w:ascii="Cambria" w:hAnsi="Cambria"/>
          <w:sz w:val="20"/>
          <w:szCs w:val="20"/>
        </w:rPr>
      </w:pPr>
      <w:r w:rsidRPr="0048698F">
        <w:rPr>
          <w:rFonts w:ascii="Cambria" w:hAnsi="Cambria"/>
          <w:sz w:val="20"/>
          <w:szCs w:val="20"/>
        </w:rPr>
        <w:t>When applying, please upload a CV and cover letter describing your interest and alignment with the position.</w:t>
      </w:r>
    </w:p>
    <w:p w:rsidR="00AC6FB5" w:rsidRPr="0048698F" w:rsidRDefault="00AC6FB5" w:rsidP="00AC6FB5">
      <w:pPr>
        <w:rPr>
          <w:rFonts w:ascii="Cambria" w:hAnsi="Cambria"/>
          <w:sz w:val="20"/>
          <w:szCs w:val="20"/>
        </w:rPr>
      </w:pPr>
    </w:p>
    <w:p w:rsidR="00AC6FB5" w:rsidRDefault="00AC6FB5" w:rsidP="00AC6FB5">
      <w:pPr>
        <w:rPr>
          <w:rFonts w:ascii="Cambria" w:hAnsi="Cambria"/>
          <w:sz w:val="20"/>
          <w:szCs w:val="20"/>
        </w:rPr>
      </w:pPr>
      <w:r w:rsidRPr="0048698F">
        <w:rPr>
          <w:rFonts w:ascii="Cambria" w:hAnsi="Cambria"/>
          <w:sz w:val="20"/>
          <w:szCs w:val="20"/>
        </w:rPr>
        <w:t>Also upload this completed</w:t>
      </w:r>
      <w:r>
        <w:rPr>
          <w:rFonts w:ascii="Cambria" w:hAnsi="Cambria"/>
          <w:sz w:val="20"/>
          <w:szCs w:val="20"/>
        </w:rPr>
        <w:t xml:space="preserve"> </w:t>
      </w:r>
      <w:hyperlink r:id="rId7" w:history="1">
        <w:r w:rsidRPr="0048698F">
          <w:rPr>
            <w:rStyle w:val="Hyperlink"/>
            <w:rFonts w:ascii="Cambria" w:hAnsi="Cambria"/>
            <w:sz w:val="20"/>
            <w:szCs w:val="20"/>
          </w:rPr>
          <w:t>list of references form</w:t>
        </w:r>
      </w:hyperlink>
      <w:r>
        <w:rPr>
          <w:rFonts w:ascii="Cambria" w:hAnsi="Cambria"/>
          <w:sz w:val="20"/>
          <w:szCs w:val="20"/>
        </w:rPr>
        <w:t xml:space="preserve"> </w:t>
      </w:r>
      <w:r w:rsidRPr="0048698F">
        <w:rPr>
          <w:rFonts w:ascii="Cambria" w:hAnsi="Cambria"/>
          <w:sz w:val="20"/>
          <w:szCs w:val="20"/>
        </w:rPr>
        <w:t>to suggest the names of individuals who could write letters of reference on your behalf.</w:t>
      </w:r>
    </w:p>
    <w:p w:rsidR="00AC6FB5" w:rsidRDefault="00AC6FB5" w:rsidP="00AC6FB5">
      <w:pPr>
        <w:rPr>
          <w:rFonts w:ascii="Cambria" w:hAnsi="Cambria"/>
          <w:sz w:val="20"/>
          <w:szCs w:val="20"/>
        </w:rPr>
      </w:pPr>
    </w:p>
    <w:p w:rsidR="00AC6FB5" w:rsidRPr="0048698F" w:rsidRDefault="00AC6FB5" w:rsidP="00AC6FB5">
      <w:pPr>
        <w:rPr>
          <w:rFonts w:ascii="Cambria" w:hAnsi="Cambria"/>
          <w:sz w:val="20"/>
          <w:szCs w:val="20"/>
        </w:rPr>
      </w:pPr>
      <w:r w:rsidRPr="0048698F">
        <w:rPr>
          <w:rFonts w:ascii="Cambria" w:hAnsi="Cambria"/>
          <w:sz w:val="20"/>
          <w:szCs w:val="20"/>
        </w:rPr>
        <w:t>Please read ALL instructions and make preparations before proceeding to the application page:</w:t>
      </w:r>
    </w:p>
    <w:p w:rsidR="00AC6FB5" w:rsidRPr="0048698F" w:rsidRDefault="00AC6FB5" w:rsidP="00AC6FB5">
      <w:pPr>
        <w:numPr>
          <w:ilvl w:val="0"/>
          <w:numId w:val="1"/>
        </w:numPr>
        <w:rPr>
          <w:rFonts w:ascii="Cambria" w:hAnsi="Cambria"/>
          <w:sz w:val="20"/>
          <w:szCs w:val="20"/>
        </w:rPr>
      </w:pPr>
      <w:r w:rsidRPr="0048698F">
        <w:rPr>
          <w:rFonts w:ascii="Cambria" w:hAnsi="Cambria"/>
          <w:sz w:val="20"/>
          <w:szCs w:val="20"/>
        </w:rPr>
        <w:t>Applications will</w:t>
      </w:r>
      <w:r>
        <w:rPr>
          <w:rFonts w:ascii="Cambria" w:hAnsi="Cambria"/>
          <w:sz w:val="20"/>
          <w:szCs w:val="20"/>
        </w:rPr>
        <w:t xml:space="preserve"> </w:t>
      </w:r>
      <w:r w:rsidRPr="0048698F">
        <w:rPr>
          <w:rFonts w:ascii="Cambria" w:hAnsi="Cambria"/>
          <w:b/>
          <w:bCs/>
          <w:sz w:val="20"/>
          <w:szCs w:val="20"/>
        </w:rPr>
        <w:t>only</w:t>
      </w:r>
      <w:r>
        <w:rPr>
          <w:rFonts w:ascii="Cambria" w:hAnsi="Cambria"/>
          <w:sz w:val="20"/>
          <w:szCs w:val="20"/>
        </w:rPr>
        <w:t xml:space="preserve"> </w:t>
      </w:r>
      <w:r w:rsidRPr="0048698F">
        <w:rPr>
          <w:rFonts w:ascii="Cambria" w:hAnsi="Cambria"/>
          <w:sz w:val="20"/>
          <w:szCs w:val="20"/>
        </w:rPr>
        <w:t>be accepted via online submission (see link below).</w:t>
      </w:r>
    </w:p>
    <w:p w:rsidR="00AC6FB5" w:rsidRPr="0048698F" w:rsidRDefault="00AC6FB5" w:rsidP="00AC6FB5">
      <w:pPr>
        <w:numPr>
          <w:ilvl w:val="0"/>
          <w:numId w:val="1"/>
        </w:numPr>
        <w:rPr>
          <w:rFonts w:ascii="Cambria" w:hAnsi="Cambria"/>
          <w:sz w:val="20"/>
          <w:szCs w:val="20"/>
        </w:rPr>
      </w:pPr>
      <w:r w:rsidRPr="0048698F">
        <w:rPr>
          <w:rFonts w:ascii="Cambria" w:hAnsi="Cambria"/>
          <w:sz w:val="20"/>
          <w:szCs w:val="20"/>
        </w:rPr>
        <w:t>Please prepare all documents in advance as Adobe PDF files, and please be sure all information is entered correctly and accurately (especially names and email addresses), as there will be no opportunity for online revision after your application has been submitted.</w:t>
      </w:r>
    </w:p>
    <w:p w:rsidR="00AC6FB5" w:rsidRPr="0048698F" w:rsidRDefault="00AC6FB5" w:rsidP="00AC6FB5">
      <w:pPr>
        <w:numPr>
          <w:ilvl w:val="0"/>
          <w:numId w:val="1"/>
        </w:numPr>
        <w:rPr>
          <w:rFonts w:ascii="Cambria" w:hAnsi="Cambria"/>
          <w:sz w:val="20"/>
          <w:szCs w:val="20"/>
        </w:rPr>
      </w:pPr>
      <w:r w:rsidRPr="0048698F">
        <w:rPr>
          <w:rFonts w:ascii="Cambria" w:hAnsi="Cambria"/>
          <w:sz w:val="20"/>
          <w:szCs w:val="20"/>
        </w:rPr>
        <w:t>All required fields in the application form are marked with an asterisk and must be filled before clicking the “Submit” button.</w:t>
      </w:r>
    </w:p>
    <w:p w:rsidR="00AC6FB5" w:rsidRPr="0048698F" w:rsidRDefault="00AC6FB5" w:rsidP="00AC6FB5">
      <w:pPr>
        <w:numPr>
          <w:ilvl w:val="0"/>
          <w:numId w:val="1"/>
        </w:numPr>
        <w:rPr>
          <w:rFonts w:ascii="Cambria" w:hAnsi="Cambria"/>
          <w:sz w:val="20"/>
          <w:szCs w:val="20"/>
        </w:rPr>
      </w:pPr>
      <w:r w:rsidRPr="0048698F">
        <w:rPr>
          <w:rFonts w:ascii="Cambria" w:hAnsi="Cambria"/>
          <w:sz w:val="20"/>
          <w:szCs w:val="20"/>
        </w:rPr>
        <w:t>Be aware that incomplete applications cannot be saved.</w:t>
      </w:r>
    </w:p>
    <w:p w:rsidR="00AC6FB5" w:rsidRDefault="00AC6FB5" w:rsidP="00AC6FB5">
      <w:pPr>
        <w:rPr>
          <w:rFonts w:ascii="Cambria" w:hAnsi="Cambria"/>
          <w:sz w:val="20"/>
          <w:szCs w:val="20"/>
        </w:rPr>
      </w:pPr>
    </w:p>
    <w:p w:rsidR="00AC6FB5" w:rsidRDefault="00AC6FB5" w:rsidP="00AC6FB5">
      <w:pPr>
        <w:rPr>
          <w:rFonts w:ascii="Cambria" w:hAnsi="Cambria"/>
          <w:sz w:val="20"/>
          <w:szCs w:val="20"/>
        </w:rPr>
      </w:pPr>
      <w:r w:rsidRPr="0048698F">
        <w:rPr>
          <w:rFonts w:ascii="Cambria" w:hAnsi="Cambria"/>
          <w:sz w:val="20"/>
          <w:szCs w:val="20"/>
        </w:rPr>
        <w:t>Applications accepted here:</w:t>
      </w:r>
      <w:r>
        <w:rPr>
          <w:rFonts w:ascii="Cambria" w:hAnsi="Cambria"/>
          <w:sz w:val="20"/>
          <w:szCs w:val="20"/>
        </w:rPr>
        <w:t xml:space="preserve"> </w:t>
      </w:r>
      <w:hyperlink r:id="rId8" w:tgtFrame="_blank" w:history="1">
        <w:r>
          <w:rPr>
            <w:rStyle w:val="Hyperlink"/>
            <w:rFonts w:ascii="Cambria" w:hAnsi="Cambria"/>
            <w:sz w:val="20"/>
            <w:szCs w:val="20"/>
          </w:rPr>
          <w:t>https://facultyrecruiting.northwestern.edu/apply/MjQyNg==</w:t>
        </w:r>
      </w:hyperlink>
      <w:r w:rsidRPr="0048698F">
        <w:rPr>
          <w:rFonts w:ascii="Cambria" w:hAnsi="Cambria"/>
          <w:sz w:val="20"/>
          <w:szCs w:val="20"/>
        </w:rPr>
        <w:br/>
      </w:r>
    </w:p>
    <w:p w:rsidR="00AC6FB5" w:rsidRPr="0048698F" w:rsidRDefault="00AC6FB5" w:rsidP="00AC6FB5">
      <w:pPr>
        <w:rPr>
          <w:rFonts w:ascii="Cambria" w:hAnsi="Cambria"/>
          <w:sz w:val="20"/>
          <w:szCs w:val="20"/>
        </w:rPr>
      </w:pPr>
      <w:r w:rsidRPr="0048698F">
        <w:rPr>
          <w:rFonts w:ascii="Cambria" w:hAnsi="Cambria"/>
          <w:i/>
          <w:iCs/>
          <w:sz w:val="20"/>
          <w:szCs w:val="20"/>
        </w:rPr>
        <w:t>Northwestern University is an Equal Opportunity Employer and does not discriminate on the basis of protected characteristics, including disability and veteran status. View Northwestern’s</w:t>
      </w:r>
      <w:r>
        <w:rPr>
          <w:rFonts w:ascii="Cambria" w:hAnsi="Cambria"/>
          <w:i/>
          <w:iCs/>
          <w:sz w:val="20"/>
          <w:szCs w:val="20"/>
        </w:rPr>
        <w:t xml:space="preserve"> </w:t>
      </w:r>
      <w:hyperlink r:id="rId9" w:history="1">
        <w:r w:rsidRPr="0048698F">
          <w:rPr>
            <w:rStyle w:val="Hyperlink"/>
            <w:rFonts w:ascii="Cambria" w:hAnsi="Cambria"/>
            <w:i/>
            <w:iCs/>
            <w:sz w:val="20"/>
            <w:szCs w:val="20"/>
          </w:rPr>
          <w:t>non-discrimination statement</w:t>
        </w:r>
      </w:hyperlink>
      <w:r w:rsidRPr="0048698F">
        <w:rPr>
          <w:rFonts w:ascii="Cambria" w:hAnsi="Cambria"/>
          <w:i/>
          <w:iCs/>
          <w:sz w:val="20"/>
          <w:szCs w:val="20"/>
        </w:rPr>
        <w:t>. Job applicants who wish to request an accommodation in the application or hiring process should contact the Office of Civil Rights and Title IX Compliance. View</w:t>
      </w:r>
      <w:r>
        <w:rPr>
          <w:rFonts w:ascii="Cambria" w:hAnsi="Cambria"/>
          <w:i/>
          <w:iCs/>
          <w:sz w:val="20"/>
          <w:szCs w:val="20"/>
        </w:rPr>
        <w:t xml:space="preserve"> </w:t>
      </w:r>
      <w:hyperlink r:id="rId10" w:history="1">
        <w:r w:rsidRPr="0048698F">
          <w:rPr>
            <w:rStyle w:val="Hyperlink"/>
            <w:rFonts w:ascii="Cambria" w:hAnsi="Cambria"/>
            <w:i/>
            <w:iCs/>
            <w:sz w:val="20"/>
            <w:szCs w:val="20"/>
          </w:rPr>
          <w:t>additional information on the accommodations process</w:t>
        </w:r>
      </w:hyperlink>
      <w:r w:rsidRPr="0048698F">
        <w:rPr>
          <w:rFonts w:ascii="Cambria" w:hAnsi="Cambria"/>
          <w:i/>
          <w:iCs/>
          <w:sz w:val="20"/>
          <w:szCs w:val="20"/>
        </w:rPr>
        <w:t>.</w:t>
      </w:r>
    </w:p>
    <w:p w:rsidR="00665D52" w:rsidRDefault="00665D52"/>
    <w:sectPr w:rsidR="00665D52" w:rsidSect="00AF3F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20AB1"/>
    <w:multiLevelType w:val="multilevel"/>
    <w:tmpl w:val="B768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6098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B5"/>
    <w:rsid w:val="0000454C"/>
    <w:rsid w:val="00023310"/>
    <w:rsid w:val="000467F0"/>
    <w:rsid w:val="00064347"/>
    <w:rsid w:val="00065DC2"/>
    <w:rsid w:val="00096AF0"/>
    <w:rsid w:val="000D5CFF"/>
    <w:rsid w:val="000E4803"/>
    <w:rsid w:val="0010241D"/>
    <w:rsid w:val="001036FF"/>
    <w:rsid w:val="001217D9"/>
    <w:rsid w:val="00134A3C"/>
    <w:rsid w:val="001748C8"/>
    <w:rsid w:val="00183FC7"/>
    <w:rsid w:val="001B711D"/>
    <w:rsid w:val="001C1631"/>
    <w:rsid w:val="001D674B"/>
    <w:rsid w:val="001D7831"/>
    <w:rsid w:val="001E0FEE"/>
    <w:rsid w:val="001E67D3"/>
    <w:rsid w:val="00273537"/>
    <w:rsid w:val="00294D81"/>
    <w:rsid w:val="002A6A8F"/>
    <w:rsid w:val="002F7E6F"/>
    <w:rsid w:val="00305861"/>
    <w:rsid w:val="00311DCA"/>
    <w:rsid w:val="00333577"/>
    <w:rsid w:val="003340A7"/>
    <w:rsid w:val="00356147"/>
    <w:rsid w:val="00374C8B"/>
    <w:rsid w:val="003D50A8"/>
    <w:rsid w:val="003F62FF"/>
    <w:rsid w:val="00414DA0"/>
    <w:rsid w:val="00422EAC"/>
    <w:rsid w:val="004516D0"/>
    <w:rsid w:val="004E5F45"/>
    <w:rsid w:val="005720CD"/>
    <w:rsid w:val="00573EBB"/>
    <w:rsid w:val="00574DC9"/>
    <w:rsid w:val="00576433"/>
    <w:rsid w:val="005A0B6C"/>
    <w:rsid w:val="005B56A9"/>
    <w:rsid w:val="005B774C"/>
    <w:rsid w:val="005C5DCA"/>
    <w:rsid w:val="00665D52"/>
    <w:rsid w:val="006A6767"/>
    <w:rsid w:val="006A7258"/>
    <w:rsid w:val="006B3071"/>
    <w:rsid w:val="006E6628"/>
    <w:rsid w:val="006E67FB"/>
    <w:rsid w:val="006F6B87"/>
    <w:rsid w:val="00723550"/>
    <w:rsid w:val="007249FD"/>
    <w:rsid w:val="0074762C"/>
    <w:rsid w:val="00750F94"/>
    <w:rsid w:val="0075503E"/>
    <w:rsid w:val="00767CD5"/>
    <w:rsid w:val="00773BAA"/>
    <w:rsid w:val="00787340"/>
    <w:rsid w:val="007D31F3"/>
    <w:rsid w:val="007E2156"/>
    <w:rsid w:val="00820357"/>
    <w:rsid w:val="00820732"/>
    <w:rsid w:val="00837073"/>
    <w:rsid w:val="00866FDD"/>
    <w:rsid w:val="00883D4F"/>
    <w:rsid w:val="0088690C"/>
    <w:rsid w:val="00896E25"/>
    <w:rsid w:val="008F01FE"/>
    <w:rsid w:val="008F143C"/>
    <w:rsid w:val="00903FC3"/>
    <w:rsid w:val="009261A4"/>
    <w:rsid w:val="0096261C"/>
    <w:rsid w:val="00962C89"/>
    <w:rsid w:val="009754BC"/>
    <w:rsid w:val="009C4DB8"/>
    <w:rsid w:val="009D57B5"/>
    <w:rsid w:val="009D61C4"/>
    <w:rsid w:val="009F1088"/>
    <w:rsid w:val="009F1528"/>
    <w:rsid w:val="00A04907"/>
    <w:rsid w:val="00A05BCC"/>
    <w:rsid w:val="00A17CF0"/>
    <w:rsid w:val="00A31FF7"/>
    <w:rsid w:val="00A5089C"/>
    <w:rsid w:val="00A578A2"/>
    <w:rsid w:val="00AA00FD"/>
    <w:rsid w:val="00AC6DB3"/>
    <w:rsid w:val="00AC6FB5"/>
    <w:rsid w:val="00AF3FDE"/>
    <w:rsid w:val="00B17165"/>
    <w:rsid w:val="00B25515"/>
    <w:rsid w:val="00B303FE"/>
    <w:rsid w:val="00B408BE"/>
    <w:rsid w:val="00B7671C"/>
    <w:rsid w:val="00BB0976"/>
    <w:rsid w:val="00C0680B"/>
    <w:rsid w:val="00C12535"/>
    <w:rsid w:val="00C740E3"/>
    <w:rsid w:val="00C86A1F"/>
    <w:rsid w:val="00C90713"/>
    <w:rsid w:val="00C96BFE"/>
    <w:rsid w:val="00CC38BA"/>
    <w:rsid w:val="00CD3038"/>
    <w:rsid w:val="00CD61BF"/>
    <w:rsid w:val="00CF5B4B"/>
    <w:rsid w:val="00D02926"/>
    <w:rsid w:val="00D13A9E"/>
    <w:rsid w:val="00D210F8"/>
    <w:rsid w:val="00D65D5A"/>
    <w:rsid w:val="00DC06C4"/>
    <w:rsid w:val="00DF0FE4"/>
    <w:rsid w:val="00E146CD"/>
    <w:rsid w:val="00E231E2"/>
    <w:rsid w:val="00E4294C"/>
    <w:rsid w:val="00E80C16"/>
    <w:rsid w:val="00E86A5F"/>
    <w:rsid w:val="00EA2CA4"/>
    <w:rsid w:val="00EB10B2"/>
    <w:rsid w:val="00EE3F2F"/>
    <w:rsid w:val="00EE6394"/>
    <w:rsid w:val="00F03A55"/>
    <w:rsid w:val="00F07708"/>
    <w:rsid w:val="00FF1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4A02F4"/>
  <w15:chartTrackingRefBased/>
  <w15:docId w15:val="{EF34F38F-46B2-2048-81DC-AB558E4E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FB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FB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ultyrecruiting.northwestern.edu/apply/MjQyNg==" TargetMode="External"/><Relationship Id="rId3" Type="http://schemas.openxmlformats.org/officeDocument/2006/relationships/settings" Target="settings.xml"/><Relationship Id="rId7" Type="http://schemas.openxmlformats.org/officeDocument/2006/relationships/hyperlink" Target="https://www.feinberg.northwestern.edu/fao/docs/admin-fac-reg-tracks/Recruitment/FSM-List-of-References-for-New-Faculty.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thwestern.edu/hr/benefits/index.html"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northwestern.edu/equal-opportunity-access/accommodation/disability.html" TargetMode="External"/><Relationship Id="rId4" Type="http://schemas.openxmlformats.org/officeDocument/2006/relationships/webSettings" Target="webSettings.xml"/><Relationship Id="rId9" Type="http://schemas.openxmlformats.org/officeDocument/2006/relationships/hyperlink" Target="https://www.northwestern.edu/civil-rights-office/about/statements/non-discrimination-stat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Ads GSA</dc:creator>
  <cp:keywords/>
  <dc:description/>
  <cp:lastModifiedBy>Ads GSA</cp:lastModifiedBy>
  <cp:revision>1</cp:revision>
  <dcterms:created xsi:type="dcterms:W3CDTF">2026-06-22T14:44:00Z</dcterms:created>
  <dcterms:modified xsi:type="dcterms:W3CDTF">2026-06-22T14:56:00Z</dcterms:modified>
</cp:coreProperties>
</file>